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BED" w:rsidRPr="00345BED" w:rsidRDefault="00345BED" w:rsidP="00345BED">
      <w:pPr>
        <w:spacing w:line="480" w:lineRule="auto"/>
        <w:rPr>
          <w:rFonts w:ascii="Times New Roman" w:hAnsi="Times New Roman" w:cs="Times New Roman"/>
          <w:sz w:val="24"/>
          <w:szCs w:val="24"/>
        </w:rPr>
      </w:pPr>
    </w:p>
    <w:p w:rsidR="00345BED" w:rsidRPr="00345BED" w:rsidRDefault="00345BED" w:rsidP="00345BED">
      <w:pPr>
        <w:spacing w:line="480" w:lineRule="auto"/>
        <w:rPr>
          <w:rFonts w:ascii="Times New Roman" w:hAnsi="Times New Roman" w:cs="Times New Roman"/>
          <w:sz w:val="24"/>
          <w:szCs w:val="24"/>
        </w:rPr>
      </w:pPr>
    </w:p>
    <w:p w:rsidR="00345BED" w:rsidRPr="00345BED" w:rsidRDefault="00345BED" w:rsidP="00345BED">
      <w:pPr>
        <w:spacing w:line="480" w:lineRule="auto"/>
        <w:rPr>
          <w:rFonts w:ascii="Times New Roman" w:hAnsi="Times New Roman" w:cs="Times New Roman"/>
          <w:sz w:val="24"/>
          <w:szCs w:val="24"/>
        </w:rPr>
      </w:pPr>
    </w:p>
    <w:p w:rsidR="00345BED" w:rsidRPr="00345BED" w:rsidRDefault="00345BED" w:rsidP="00345BED">
      <w:pPr>
        <w:spacing w:line="480" w:lineRule="auto"/>
        <w:rPr>
          <w:rFonts w:ascii="Times New Roman" w:hAnsi="Times New Roman" w:cs="Times New Roman"/>
          <w:sz w:val="24"/>
          <w:szCs w:val="24"/>
        </w:rPr>
      </w:pPr>
    </w:p>
    <w:p w:rsidR="00345BED" w:rsidRPr="00345BED" w:rsidRDefault="00345BED" w:rsidP="00345BED">
      <w:pPr>
        <w:spacing w:line="480" w:lineRule="auto"/>
        <w:rPr>
          <w:rFonts w:ascii="Times New Roman" w:hAnsi="Times New Roman" w:cs="Times New Roman"/>
          <w:sz w:val="24"/>
          <w:szCs w:val="24"/>
        </w:rPr>
      </w:pPr>
    </w:p>
    <w:p w:rsidR="00345BED" w:rsidRPr="00345BED" w:rsidRDefault="00345BED" w:rsidP="00345BED">
      <w:pPr>
        <w:spacing w:line="480" w:lineRule="auto"/>
        <w:rPr>
          <w:rFonts w:ascii="Times New Roman" w:hAnsi="Times New Roman" w:cs="Times New Roman"/>
          <w:sz w:val="24"/>
          <w:szCs w:val="24"/>
        </w:rPr>
      </w:pPr>
    </w:p>
    <w:p w:rsidR="00345BED" w:rsidRPr="00345BED" w:rsidRDefault="00345BED" w:rsidP="00345BED">
      <w:pPr>
        <w:spacing w:line="480" w:lineRule="auto"/>
        <w:jc w:val="center"/>
        <w:rPr>
          <w:rFonts w:ascii="Times New Roman" w:hAnsi="Times New Roman" w:cs="Times New Roman"/>
          <w:sz w:val="24"/>
          <w:szCs w:val="24"/>
        </w:rPr>
      </w:pPr>
      <w:r w:rsidRPr="00345BED">
        <w:rPr>
          <w:rFonts w:ascii="Times New Roman" w:hAnsi="Times New Roman" w:cs="Times New Roman"/>
          <w:sz w:val="24"/>
          <w:szCs w:val="24"/>
        </w:rPr>
        <w:t>Bernard Madoff’s Ponzi Scheme</w:t>
      </w:r>
    </w:p>
    <w:p w:rsidR="00345BED" w:rsidRPr="00345BED" w:rsidRDefault="00345BED" w:rsidP="00345BED">
      <w:pPr>
        <w:spacing w:line="480" w:lineRule="auto"/>
        <w:jc w:val="center"/>
        <w:rPr>
          <w:rFonts w:ascii="Times New Roman" w:hAnsi="Times New Roman" w:cs="Times New Roman"/>
          <w:sz w:val="24"/>
          <w:szCs w:val="24"/>
        </w:rPr>
      </w:pPr>
      <w:r w:rsidRPr="00345BED">
        <w:rPr>
          <w:rFonts w:ascii="Times New Roman" w:hAnsi="Times New Roman" w:cs="Times New Roman"/>
          <w:sz w:val="24"/>
          <w:szCs w:val="24"/>
        </w:rPr>
        <w:t>Name of Student</w:t>
      </w:r>
    </w:p>
    <w:p w:rsidR="00345BED" w:rsidRPr="00345BED" w:rsidRDefault="00345BED" w:rsidP="00345BED">
      <w:pPr>
        <w:spacing w:line="480" w:lineRule="auto"/>
        <w:jc w:val="center"/>
        <w:rPr>
          <w:rFonts w:ascii="Times New Roman" w:hAnsi="Times New Roman" w:cs="Times New Roman"/>
          <w:sz w:val="24"/>
          <w:szCs w:val="24"/>
        </w:rPr>
      </w:pPr>
      <w:r w:rsidRPr="00345BED">
        <w:rPr>
          <w:rFonts w:ascii="Times New Roman" w:hAnsi="Times New Roman" w:cs="Times New Roman"/>
          <w:sz w:val="24"/>
          <w:szCs w:val="24"/>
        </w:rPr>
        <w:t>Name of Institution</w:t>
      </w:r>
    </w:p>
    <w:p w:rsidR="00345BED" w:rsidRPr="00345BED" w:rsidRDefault="00345BED" w:rsidP="00345BED">
      <w:pPr>
        <w:spacing w:line="480" w:lineRule="auto"/>
        <w:jc w:val="center"/>
        <w:rPr>
          <w:rFonts w:ascii="Times New Roman" w:hAnsi="Times New Roman" w:cs="Times New Roman"/>
          <w:sz w:val="24"/>
          <w:szCs w:val="24"/>
        </w:rPr>
      </w:pPr>
      <w:r w:rsidRPr="00345BED">
        <w:rPr>
          <w:rFonts w:ascii="Times New Roman" w:hAnsi="Times New Roman" w:cs="Times New Roman"/>
          <w:sz w:val="24"/>
          <w:szCs w:val="24"/>
        </w:rPr>
        <w:t xml:space="preserve">Date </w:t>
      </w:r>
      <w:r w:rsidRPr="00345BED">
        <w:rPr>
          <w:rFonts w:ascii="Times New Roman" w:hAnsi="Times New Roman" w:cs="Times New Roman"/>
          <w:sz w:val="24"/>
          <w:szCs w:val="24"/>
        </w:rPr>
        <w:br w:type="page"/>
      </w:r>
    </w:p>
    <w:p w:rsidR="00345BED" w:rsidRPr="00345BED" w:rsidRDefault="00345BED" w:rsidP="00345BED">
      <w:pPr>
        <w:spacing w:line="480" w:lineRule="auto"/>
        <w:ind w:firstLine="720"/>
        <w:rPr>
          <w:rFonts w:ascii="Times New Roman" w:hAnsi="Times New Roman" w:cs="Times New Roman"/>
          <w:sz w:val="24"/>
          <w:szCs w:val="24"/>
        </w:rPr>
      </w:pPr>
      <w:r w:rsidRPr="00345BED">
        <w:rPr>
          <w:rFonts w:ascii="Times New Roman" w:hAnsi="Times New Roman" w:cs="Times New Roman"/>
          <w:sz w:val="24"/>
          <w:szCs w:val="24"/>
        </w:rPr>
        <w:lastRenderedPageBreak/>
        <w:t xml:space="preserve">Bernard Madoff is currently serving a sentence of 150 years imprisonment in Butner North Carolina for 11 counts of theft, perjury, money laundering, and fraud. He pleaded guilty to an investment fraud that lasted for almost three decades. Madoff served as a non-executive chairman of the National Association of Securities Dealers Automated Quotations (NASDAQ). He conned his clients by using new investments to pay off the returns of older ones. The clients who Madoff managed to convince to invest are more than 10,000, estimated to $20 billion. According to the assistant attorney general, Brian Benczkowski, “Bernie Madoff’s scheme devastated retirement and pension funds, charitable organizations, and thousands of individual investors (Durkin, 2018). He goes on to hail the efforts of the prosecution through forfeiture for recovery of an additional $695 million for compensation to victims. The prosecution team has only recovered $13.3 billion, which accounts for only 70% of the claims for the lost principal. Fortune exclaims that only 1,400 victims have had their applications for the lost principal repaid in full. </w:t>
      </w:r>
    </w:p>
    <w:p w:rsidR="00345BED" w:rsidRPr="00345BED" w:rsidRDefault="00345BED" w:rsidP="00345BED">
      <w:pPr>
        <w:spacing w:line="480" w:lineRule="auto"/>
        <w:ind w:firstLine="720"/>
        <w:rPr>
          <w:rFonts w:ascii="Times New Roman" w:hAnsi="Times New Roman" w:cs="Times New Roman"/>
          <w:sz w:val="24"/>
          <w:szCs w:val="24"/>
        </w:rPr>
      </w:pPr>
      <w:r w:rsidRPr="00345BED">
        <w:rPr>
          <w:rFonts w:ascii="Times New Roman" w:hAnsi="Times New Roman" w:cs="Times New Roman"/>
          <w:sz w:val="24"/>
          <w:szCs w:val="24"/>
        </w:rPr>
        <w:t xml:space="preserve">According to a study by Dr. Umit Gurun, the scheme by Madoff resulted in distrust in the system. The study finds, “Clients of the investment advisers in areas where victims of Madoff’s Ponzi scheme were concentrated though, ‘My money is in a fund managed by someone who resembles Bernie Madoff. If Madoff can defraud these investors of their savings, maybe my advisors can too (Gurun, Stoffman, &amp; Yonker, 2017).’” The study goes on to state that the loss for victims is not just the recorded $20billion Madoff schemed. Adverse effects include losing faith and trust in the financial system and preferring the safety of banks for savings. The investment fraud cost a lot of people their savings and additional costs since after withdrawing their money, people were not legible for returns. Following Bernard’s arrest and sentencing, investors pulled #363 billion from their advisors, which consequentially led to those investors </w:t>
      </w:r>
      <w:r w:rsidRPr="00345BED">
        <w:rPr>
          <w:rFonts w:ascii="Times New Roman" w:hAnsi="Times New Roman" w:cs="Times New Roman"/>
          <w:sz w:val="24"/>
          <w:szCs w:val="24"/>
        </w:rPr>
        <w:lastRenderedPageBreak/>
        <w:t xml:space="preserve">going out of business. Madoff’s eldest son, Mark, committed suicide on the second anniversary of his father’s arrest. </w:t>
      </w:r>
    </w:p>
    <w:p w:rsidR="00345BED" w:rsidRPr="00345BED" w:rsidRDefault="00345BED" w:rsidP="00345BED">
      <w:pPr>
        <w:spacing w:line="480" w:lineRule="auto"/>
        <w:ind w:firstLine="720"/>
        <w:rPr>
          <w:rFonts w:ascii="Times New Roman" w:hAnsi="Times New Roman" w:cs="Times New Roman"/>
          <w:sz w:val="24"/>
          <w:szCs w:val="24"/>
        </w:rPr>
      </w:pPr>
      <w:r w:rsidRPr="00345BED">
        <w:rPr>
          <w:rFonts w:ascii="Times New Roman" w:hAnsi="Times New Roman" w:cs="Times New Roman"/>
          <w:sz w:val="24"/>
          <w:szCs w:val="24"/>
        </w:rPr>
        <w:t>As punishment for such tendencies, I believe imprisonment is just a single step in the right direction. I think that such characters should be forced into cooperation in the recovery of assets to their victims and also contribute to community improvement initiatives. The CNN claims that Madoff makes $40 in a month by wiping down computers and phones for a few hours each day. CNN goes ahead to illustrate that he is haunted in his sleep since he is awake by 4:30, yet he doesn’t have to be up at that time. Bernie, in a statement said, “I was responsible for my son Mark’s death, and that’s very, very difficult. I live with that (Smith, 2013).”</w:t>
      </w:r>
    </w:p>
    <w:p w:rsidR="00345BED" w:rsidRPr="00345BED" w:rsidRDefault="00345BED" w:rsidP="00345BED">
      <w:pPr>
        <w:spacing w:line="480" w:lineRule="auto"/>
        <w:ind w:firstLine="720"/>
        <w:rPr>
          <w:rFonts w:ascii="Times New Roman" w:hAnsi="Times New Roman" w:cs="Times New Roman"/>
          <w:sz w:val="24"/>
          <w:szCs w:val="24"/>
        </w:rPr>
      </w:pPr>
      <w:r w:rsidRPr="00345BED">
        <w:rPr>
          <w:rFonts w:ascii="Times New Roman" w:hAnsi="Times New Roman" w:cs="Times New Roman"/>
          <w:sz w:val="24"/>
          <w:szCs w:val="24"/>
        </w:rPr>
        <w:t>Increasing awareness to the investors is the most practical way of avoiding such incidents. The investors should be skeptical of all unsolicited offers, mostly targeted at the elderly and those close to retirement. Federal aid can also intervene for the investments that are not registered, and neither do they comply with the regulations under FINRA. It is also essential to make sure you understand the investment. Any undisclosed detail by the advisor is a red flag.</w:t>
      </w:r>
    </w:p>
    <w:p w:rsidR="00345BED" w:rsidRPr="00345BED" w:rsidRDefault="00345BED" w:rsidP="00345BED">
      <w:pPr>
        <w:spacing w:line="480" w:lineRule="auto"/>
        <w:rPr>
          <w:rFonts w:ascii="Times New Roman" w:hAnsi="Times New Roman" w:cs="Times New Roman"/>
          <w:sz w:val="24"/>
          <w:szCs w:val="24"/>
        </w:rPr>
      </w:pPr>
      <w:r w:rsidRPr="00345BED">
        <w:rPr>
          <w:rFonts w:ascii="Times New Roman" w:hAnsi="Times New Roman" w:cs="Times New Roman"/>
          <w:sz w:val="24"/>
          <w:szCs w:val="24"/>
        </w:rPr>
        <w:br w:type="page"/>
      </w:r>
    </w:p>
    <w:sdt>
      <w:sdtPr>
        <w:rPr>
          <w:rFonts w:ascii="Times New Roman" w:hAnsi="Times New Roman" w:cs="Times New Roman"/>
          <w:color w:val="auto"/>
          <w:sz w:val="24"/>
          <w:szCs w:val="24"/>
        </w:rPr>
        <w:id w:val="100314222"/>
        <w:docPartObj>
          <w:docPartGallery w:val="Bibliographies"/>
          <w:docPartUnique/>
        </w:docPartObj>
      </w:sdtPr>
      <w:sdtEndPr>
        <w:rPr>
          <w:rFonts w:eastAsiaTheme="minorEastAsia"/>
          <w:b w:val="0"/>
          <w:bCs w:val="0"/>
          <w:lang w:bidi="ar-SA"/>
        </w:rPr>
      </w:sdtEndPr>
      <w:sdtContent>
        <w:p w:rsidR="00345BED" w:rsidRPr="00345BED" w:rsidRDefault="00345BED" w:rsidP="00345BED">
          <w:pPr>
            <w:pStyle w:val="Heading1"/>
            <w:spacing w:line="480" w:lineRule="auto"/>
            <w:jc w:val="center"/>
            <w:rPr>
              <w:rFonts w:ascii="Times New Roman" w:hAnsi="Times New Roman" w:cs="Times New Roman"/>
              <w:color w:val="auto"/>
              <w:sz w:val="24"/>
              <w:szCs w:val="24"/>
            </w:rPr>
          </w:pPr>
          <w:r w:rsidRPr="00345BED">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345BED" w:rsidRPr="00345BED" w:rsidRDefault="00345BED" w:rsidP="00345BED">
              <w:pPr>
                <w:pStyle w:val="Bibliography"/>
                <w:spacing w:line="480" w:lineRule="auto"/>
                <w:ind w:left="720" w:hanging="720"/>
                <w:rPr>
                  <w:rFonts w:ascii="Times New Roman" w:hAnsi="Times New Roman" w:cs="Times New Roman"/>
                  <w:noProof/>
                  <w:sz w:val="24"/>
                  <w:szCs w:val="24"/>
                </w:rPr>
              </w:pPr>
              <w:r w:rsidRPr="00345BED">
                <w:rPr>
                  <w:rFonts w:ascii="Times New Roman" w:hAnsi="Times New Roman" w:cs="Times New Roman"/>
                  <w:sz w:val="24"/>
                  <w:szCs w:val="24"/>
                </w:rPr>
                <w:fldChar w:fldCharType="begin"/>
              </w:r>
              <w:r w:rsidRPr="00345BED">
                <w:rPr>
                  <w:rFonts w:ascii="Times New Roman" w:hAnsi="Times New Roman" w:cs="Times New Roman"/>
                  <w:sz w:val="24"/>
                  <w:szCs w:val="24"/>
                </w:rPr>
                <w:instrText xml:space="preserve"> BIBLIOGRAPHY </w:instrText>
              </w:r>
              <w:r w:rsidRPr="00345BED">
                <w:rPr>
                  <w:rFonts w:ascii="Times New Roman" w:hAnsi="Times New Roman" w:cs="Times New Roman"/>
                  <w:sz w:val="24"/>
                  <w:szCs w:val="24"/>
                </w:rPr>
                <w:fldChar w:fldCharType="separate"/>
              </w:r>
              <w:r w:rsidRPr="00345BED">
                <w:rPr>
                  <w:rFonts w:ascii="Times New Roman" w:hAnsi="Times New Roman" w:cs="Times New Roman"/>
                  <w:noProof/>
                  <w:sz w:val="24"/>
                  <w:szCs w:val="24"/>
                </w:rPr>
                <w:t xml:space="preserve">Durkin, E. (2018, November 29). </w:t>
              </w:r>
              <w:r w:rsidRPr="00345BED">
                <w:rPr>
                  <w:rFonts w:ascii="Times New Roman" w:hAnsi="Times New Roman" w:cs="Times New Roman"/>
                  <w:i/>
                  <w:iCs/>
                  <w:noProof/>
                  <w:sz w:val="24"/>
                  <w:szCs w:val="24"/>
                </w:rPr>
                <w:t>Bernie Madoff scam victims receive $695m from compensation fund</w:t>
              </w:r>
              <w:r w:rsidRPr="00345BED">
                <w:rPr>
                  <w:rFonts w:ascii="Times New Roman" w:hAnsi="Times New Roman" w:cs="Times New Roman"/>
                  <w:noProof/>
                  <w:sz w:val="24"/>
                  <w:szCs w:val="24"/>
                </w:rPr>
                <w:t>. Retrieved September 16, 2019, from The Guardian: https://www.theguardian.com/business/2018/nov/29/bernie-madoff-scam-victims-receive-695m-from-compensation-fund</w:t>
              </w:r>
            </w:p>
            <w:p w:rsidR="00345BED" w:rsidRPr="00345BED" w:rsidRDefault="00345BED" w:rsidP="00345BED">
              <w:pPr>
                <w:pStyle w:val="Bibliography"/>
                <w:spacing w:line="480" w:lineRule="auto"/>
                <w:ind w:left="720" w:hanging="720"/>
                <w:rPr>
                  <w:rFonts w:ascii="Times New Roman" w:hAnsi="Times New Roman" w:cs="Times New Roman"/>
                  <w:noProof/>
                  <w:sz w:val="24"/>
                  <w:szCs w:val="24"/>
                </w:rPr>
              </w:pPr>
              <w:r w:rsidRPr="00345BED">
                <w:rPr>
                  <w:rFonts w:ascii="Times New Roman" w:hAnsi="Times New Roman" w:cs="Times New Roman"/>
                  <w:noProof/>
                  <w:sz w:val="24"/>
                  <w:szCs w:val="24"/>
                </w:rPr>
                <w:t xml:space="preserve">Gurun, U. G., Stoffman, N., &amp; Yonker, S. E. (2017). Trust Busting: The Effect of Fraud on Investor Behavior. </w:t>
              </w:r>
              <w:r w:rsidRPr="00345BED">
                <w:rPr>
                  <w:rFonts w:ascii="Times New Roman" w:hAnsi="Times New Roman" w:cs="Times New Roman"/>
                  <w:i/>
                  <w:iCs/>
                  <w:noProof/>
                  <w:sz w:val="24"/>
                  <w:szCs w:val="24"/>
                </w:rPr>
                <w:t>The Review of Financial Studies</w:t>
              </w:r>
              <w:r w:rsidRPr="00345BED">
                <w:rPr>
                  <w:rFonts w:ascii="Times New Roman" w:hAnsi="Times New Roman" w:cs="Times New Roman"/>
                  <w:noProof/>
                  <w:sz w:val="24"/>
                  <w:szCs w:val="24"/>
                </w:rPr>
                <w:t xml:space="preserve"> </w:t>
              </w:r>
              <w:r w:rsidRPr="00345BED">
                <w:rPr>
                  <w:rFonts w:ascii="Times New Roman" w:hAnsi="Times New Roman" w:cs="Times New Roman"/>
                  <w:i/>
                  <w:iCs/>
                  <w:noProof/>
                  <w:sz w:val="24"/>
                  <w:szCs w:val="24"/>
                </w:rPr>
                <w:t>, 31</w:t>
              </w:r>
              <w:r w:rsidRPr="00345BED">
                <w:rPr>
                  <w:rFonts w:ascii="Times New Roman" w:hAnsi="Times New Roman" w:cs="Times New Roman"/>
                  <w:noProof/>
                  <w:sz w:val="24"/>
                  <w:szCs w:val="24"/>
                </w:rPr>
                <w:t xml:space="preserve"> (4), 1341-1376.</w:t>
              </w:r>
            </w:p>
            <w:p w:rsidR="00345BED" w:rsidRPr="00345BED" w:rsidRDefault="00345BED" w:rsidP="00345BED">
              <w:pPr>
                <w:pStyle w:val="Bibliography"/>
                <w:spacing w:line="480" w:lineRule="auto"/>
                <w:ind w:left="720" w:hanging="720"/>
                <w:rPr>
                  <w:rFonts w:ascii="Times New Roman" w:hAnsi="Times New Roman" w:cs="Times New Roman"/>
                  <w:noProof/>
                  <w:sz w:val="24"/>
                  <w:szCs w:val="24"/>
                </w:rPr>
              </w:pPr>
              <w:r w:rsidRPr="00345BED">
                <w:rPr>
                  <w:rFonts w:ascii="Times New Roman" w:hAnsi="Times New Roman" w:cs="Times New Roman"/>
                  <w:noProof/>
                  <w:sz w:val="24"/>
                  <w:szCs w:val="24"/>
                </w:rPr>
                <w:t xml:space="preserve">Smith, A. (2013, December 11). </w:t>
              </w:r>
              <w:r w:rsidRPr="00345BED">
                <w:rPr>
                  <w:rFonts w:ascii="Times New Roman" w:hAnsi="Times New Roman" w:cs="Times New Roman"/>
                  <w:i/>
                  <w:iCs/>
                  <w:noProof/>
                  <w:sz w:val="24"/>
                  <w:szCs w:val="24"/>
                </w:rPr>
                <w:t>Five things you didn't know about Bernie Madoff's epic scam</w:t>
              </w:r>
              <w:r w:rsidRPr="00345BED">
                <w:rPr>
                  <w:rFonts w:ascii="Times New Roman" w:hAnsi="Times New Roman" w:cs="Times New Roman"/>
                  <w:noProof/>
                  <w:sz w:val="24"/>
                  <w:szCs w:val="24"/>
                </w:rPr>
                <w:t>. Retrieved September 16, 2019, from CNN Business: https://money.cnn.com/2013/12/10/news/companies/bernard-madoff-ponzi/</w:t>
              </w:r>
            </w:p>
            <w:p w:rsidR="00345BED" w:rsidRPr="00345BED" w:rsidRDefault="00345BED" w:rsidP="00345BED">
              <w:pPr>
                <w:spacing w:line="480" w:lineRule="auto"/>
                <w:ind w:left="720" w:hanging="720"/>
                <w:rPr>
                  <w:rFonts w:ascii="Times New Roman" w:hAnsi="Times New Roman" w:cs="Times New Roman"/>
                  <w:sz w:val="24"/>
                  <w:szCs w:val="24"/>
                </w:rPr>
              </w:pPr>
              <w:r w:rsidRPr="00345BED">
                <w:rPr>
                  <w:rFonts w:ascii="Times New Roman" w:hAnsi="Times New Roman" w:cs="Times New Roman"/>
                  <w:sz w:val="24"/>
                  <w:szCs w:val="24"/>
                </w:rPr>
                <w:fldChar w:fldCharType="end"/>
              </w:r>
            </w:p>
          </w:sdtContent>
        </w:sdt>
      </w:sdtContent>
    </w:sdt>
    <w:p w:rsidR="008B2B64" w:rsidRPr="00345BED" w:rsidRDefault="008B2B64" w:rsidP="00345BED">
      <w:pPr>
        <w:spacing w:line="480" w:lineRule="auto"/>
        <w:ind w:firstLine="720"/>
        <w:rPr>
          <w:rFonts w:ascii="Times New Roman" w:hAnsi="Times New Roman" w:cs="Times New Roman"/>
          <w:sz w:val="24"/>
          <w:szCs w:val="24"/>
        </w:rPr>
      </w:pPr>
    </w:p>
    <w:sectPr w:rsidR="008B2B64" w:rsidRPr="00345BED" w:rsidSect="00345B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6B6" w:rsidRDefault="000F76B6" w:rsidP="00345BED">
      <w:pPr>
        <w:spacing w:after="0" w:line="240" w:lineRule="auto"/>
      </w:pPr>
      <w:r>
        <w:separator/>
      </w:r>
    </w:p>
  </w:endnote>
  <w:endnote w:type="continuationSeparator" w:id="1">
    <w:p w:rsidR="000F76B6" w:rsidRDefault="000F76B6" w:rsidP="00345B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6B6" w:rsidRDefault="000F76B6" w:rsidP="00345BED">
      <w:pPr>
        <w:spacing w:after="0" w:line="240" w:lineRule="auto"/>
      </w:pPr>
      <w:r>
        <w:separator/>
      </w:r>
    </w:p>
  </w:footnote>
  <w:footnote w:type="continuationSeparator" w:id="1">
    <w:p w:rsidR="000F76B6" w:rsidRDefault="000F76B6" w:rsidP="00345B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ED" w:rsidRPr="00345BED" w:rsidRDefault="00345BED">
    <w:pPr>
      <w:pStyle w:val="Header"/>
      <w:jc w:val="right"/>
      <w:rPr>
        <w:rFonts w:ascii="Times New Roman" w:hAnsi="Times New Roman" w:cs="Times New Roman"/>
        <w:sz w:val="24"/>
      </w:rPr>
    </w:pPr>
    <w:r w:rsidRPr="00345BED">
      <w:rPr>
        <w:rFonts w:ascii="Times New Roman" w:hAnsi="Times New Roman" w:cs="Times New Roman"/>
        <w:sz w:val="24"/>
      </w:rPr>
      <w:t>BERNARD MADOFF’S PONZI SCHEME</w:t>
    </w:r>
    <w:r>
      <w:rPr>
        <w:rFonts w:ascii="Times New Roman" w:hAnsi="Times New Roman" w:cs="Times New Roman"/>
        <w:sz w:val="24"/>
      </w:rPr>
      <w:tab/>
    </w:r>
    <w:r w:rsidRPr="00345BED">
      <w:rPr>
        <w:rFonts w:ascii="Times New Roman" w:hAnsi="Times New Roman" w:cs="Times New Roman"/>
        <w:sz w:val="24"/>
      </w:rPr>
      <w:tab/>
    </w:r>
    <w:sdt>
      <w:sdtPr>
        <w:rPr>
          <w:rFonts w:ascii="Times New Roman" w:hAnsi="Times New Roman" w:cs="Times New Roman"/>
          <w:sz w:val="24"/>
        </w:rPr>
        <w:id w:val="100314231"/>
        <w:docPartObj>
          <w:docPartGallery w:val="Page Numbers (Top of Page)"/>
          <w:docPartUnique/>
        </w:docPartObj>
      </w:sdtPr>
      <w:sdtContent>
        <w:r w:rsidRPr="00345BED">
          <w:rPr>
            <w:rFonts w:ascii="Times New Roman" w:hAnsi="Times New Roman" w:cs="Times New Roman"/>
            <w:sz w:val="24"/>
          </w:rPr>
          <w:fldChar w:fldCharType="begin"/>
        </w:r>
        <w:r w:rsidRPr="00345BED">
          <w:rPr>
            <w:rFonts w:ascii="Times New Roman" w:hAnsi="Times New Roman" w:cs="Times New Roman"/>
            <w:sz w:val="24"/>
          </w:rPr>
          <w:instrText xml:space="preserve"> PAGE   \* MERGEFORMAT </w:instrText>
        </w:r>
        <w:r w:rsidRPr="00345BED">
          <w:rPr>
            <w:rFonts w:ascii="Times New Roman" w:hAnsi="Times New Roman" w:cs="Times New Roman"/>
            <w:sz w:val="24"/>
          </w:rPr>
          <w:fldChar w:fldCharType="separate"/>
        </w:r>
        <w:r>
          <w:rPr>
            <w:rFonts w:ascii="Times New Roman" w:hAnsi="Times New Roman" w:cs="Times New Roman"/>
            <w:noProof/>
            <w:sz w:val="24"/>
          </w:rPr>
          <w:t>4</w:t>
        </w:r>
        <w:r w:rsidRPr="00345BED">
          <w:rPr>
            <w:rFonts w:ascii="Times New Roman" w:hAnsi="Times New Roman" w:cs="Times New Roman"/>
            <w:sz w:val="24"/>
          </w:rPr>
          <w:fldChar w:fldCharType="end"/>
        </w:r>
      </w:sdtContent>
    </w:sdt>
  </w:p>
  <w:p w:rsidR="00345BED" w:rsidRPr="00345BED" w:rsidRDefault="00345BE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ED" w:rsidRPr="00345BED" w:rsidRDefault="00345BED">
    <w:pPr>
      <w:pStyle w:val="Header"/>
      <w:jc w:val="right"/>
      <w:rPr>
        <w:rFonts w:ascii="Times New Roman" w:hAnsi="Times New Roman" w:cs="Times New Roman"/>
        <w:sz w:val="24"/>
      </w:rPr>
    </w:pPr>
    <w:r w:rsidRPr="00345BED">
      <w:rPr>
        <w:rFonts w:ascii="Times New Roman" w:hAnsi="Times New Roman" w:cs="Times New Roman"/>
        <w:sz w:val="24"/>
      </w:rPr>
      <w:t xml:space="preserve">Running Head: BERNARD MADOFF’S PONZI SCHEME </w:t>
    </w:r>
    <w:r w:rsidRPr="00345BED">
      <w:rPr>
        <w:rFonts w:ascii="Times New Roman" w:hAnsi="Times New Roman" w:cs="Times New Roman"/>
        <w:sz w:val="24"/>
      </w:rPr>
      <w:tab/>
    </w:r>
    <w:sdt>
      <w:sdtPr>
        <w:rPr>
          <w:rFonts w:ascii="Times New Roman" w:hAnsi="Times New Roman" w:cs="Times New Roman"/>
          <w:sz w:val="24"/>
        </w:rPr>
        <w:id w:val="100314263"/>
        <w:docPartObj>
          <w:docPartGallery w:val="Page Numbers (Top of Page)"/>
          <w:docPartUnique/>
        </w:docPartObj>
      </w:sdtPr>
      <w:sdtContent>
        <w:r w:rsidRPr="00345BED">
          <w:rPr>
            <w:rFonts w:ascii="Times New Roman" w:hAnsi="Times New Roman" w:cs="Times New Roman"/>
            <w:sz w:val="24"/>
          </w:rPr>
          <w:fldChar w:fldCharType="begin"/>
        </w:r>
        <w:r w:rsidRPr="00345BED">
          <w:rPr>
            <w:rFonts w:ascii="Times New Roman" w:hAnsi="Times New Roman" w:cs="Times New Roman"/>
            <w:sz w:val="24"/>
          </w:rPr>
          <w:instrText xml:space="preserve"> PAGE   \* MERGEFORMAT </w:instrText>
        </w:r>
        <w:r w:rsidRPr="00345BED">
          <w:rPr>
            <w:rFonts w:ascii="Times New Roman" w:hAnsi="Times New Roman" w:cs="Times New Roman"/>
            <w:sz w:val="24"/>
          </w:rPr>
          <w:fldChar w:fldCharType="separate"/>
        </w:r>
        <w:r>
          <w:rPr>
            <w:rFonts w:ascii="Times New Roman" w:hAnsi="Times New Roman" w:cs="Times New Roman"/>
            <w:noProof/>
            <w:sz w:val="24"/>
          </w:rPr>
          <w:t>1</w:t>
        </w:r>
        <w:r w:rsidRPr="00345BED">
          <w:rPr>
            <w:rFonts w:ascii="Times New Roman" w:hAnsi="Times New Roman" w:cs="Times New Roman"/>
            <w:sz w:val="24"/>
          </w:rPr>
          <w:fldChar w:fldCharType="end"/>
        </w:r>
      </w:sdtContent>
    </w:sdt>
  </w:p>
  <w:p w:rsidR="00345BED" w:rsidRPr="00345BED" w:rsidRDefault="00345BE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F2BE3"/>
    <w:rsid w:val="000F76B6"/>
    <w:rsid w:val="00340D36"/>
    <w:rsid w:val="00345BED"/>
    <w:rsid w:val="0069366F"/>
    <w:rsid w:val="008B2B64"/>
    <w:rsid w:val="00B34152"/>
    <w:rsid w:val="00BB5644"/>
    <w:rsid w:val="00C73367"/>
    <w:rsid w:val="00EF2BE3"/>
    <w:rsid w:val="00FC7F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45BE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7F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F7D"/>
    <w:rPr>
      <w:rFonts w:ascii="Tahoma" w:hAnsi="Tahoma" w:cs="Tahoma"/>
      <w:sz w:val="16"/>
      <w:szCs w:val="16"/>
    </w:rPr>
  </w:style>
  <w:style w:type="character" w:customStyle="1" w:styleId="Heading1Char">
    <w:name w:val="Heading 1 Char"/>
    <w:basedOn w:val="DefaultParagraphFont"/>
    <w:link w:val="Heading1"/>
    <w:uiPriority w:val="9"/>
    <w:rsid w:val="00345BE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45BED"/>
  </w:style>
  <w:style w:type="paragraph" w:styleId="Header">
    <w:name w:val="header"/>
    <w:basedOn w:val="Normal"/>
    <w:link w:val="HeaderChar"/>
    <w:uiPriority w:val="99"/>
    <w:unhideWhenUsed/>
    <w:rsid w:val="00345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BED"/>
  </w:style>
  <w:style w:type="paragraph" w:styleId="Footer">
    <w:name w:val="footer"/>
    <w:basedOn w:val="Normal"/>
    <w:link w:val="FooterChar"/>
    <w:uiPriority w:val="99"/>
    <w:semiHidden/>
    <w:unhideWhenUsed/>
    <w:rsid w:val="00345B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5B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Gur17</b:Tag>
    <b:SourceType>JournalArticle</b:SourceType>
    <b:Guid>{C317B462-FB9B-41A8-811C-0081EA490FCF}</b:Guid>
    <b:LCID>0</b:LCID>
    <b:Author>
      <b:Author>
        <b:NameList>
          <b:Person>
            <b:Last>Gurun</b:Last>
            <b:First>Umit</b:First>
            <b:Middle>G.</b:Middle>
          </b:Person>
          <b:Person>
            <b:Last>Stoffman</b:Last>
            <b:First>Noah</b:First>
          </b:Person>
          <b:Person>
            <b:Last>Yonker</b:Last>
            <b:First>Scott</b:First>
            <b:Middle>E.</b:Middle>
          </b:Person>
        </b:NameList>
      </b:Author>
    </b:Author>
    <b:Title>Trust Busting: The Effect of Fraud on Investor Behavior</b:Title>
    <b:Year>2017</b:Year>
    <b:Month>July</b:Month>
    <b:JournalName>The Review of Financial Studies</b:JournalName>
    <b:Pages>1341-1376</b:Pages>
    <b:Volume>31</b:Volume>
    <b:Issue>4</b:Issue>
    <b:RefOrder>1</b:RefOrder>
  </b:Source>
  <b:Source>
    <b:Tag>Dur18</b:Tag>
    <b:SourceType>InternetSite</b:SourceType>
    <b:Guid>{A046B36F-5961-4D84-AF9F-F241C206B253}</b:Guid>
    <b:LCID>0</b:LCID>
    <b:Author>
      <b:Author>
        <b:NameList>
          <b:Person>
            <b:Last>Durkin</b:Last>
            <b:First>Erin</b:First>
          </b:Person>
        </b:NameList>
      </b:Author>
    </b:Author>
    <b:Title>Bernie Madoff scam victims receive $695m from compensation fund</b:Title>
    <b:Year>2018</b:Year>
    <b:InternetSiteTitle>The Guardian</b:InternetSiteTitle>
    <b:Month>November</b:Month>
    <b:Day>29</b:Day>
    <b:YearAccessed>2019</b:YearAccessed>
    <b:MonthAccessed>September</b:MonthAccessed>
    <b:DayAccessed>16</b:DayAccessed>
    <b:URL>https://www.theguardian.com/business/2018/nov/29/bernie-madoff-scam-victims-receive-695m-from-compensation-fund</b:URL>
    <b:RefOrder>2</b:RefOrder>
  </b:Source>
  <b:Source>
    <b:Tag>Smi13</b:Tag>
    <b:SourceType>InternetSite</b:SourceType>
    <b:Guid>{AB26963B-E339-4A63-9380-EDD3C8CAD555}</b:Guid>
    <b:LCID>0</b:LCID>
    <b:Author>
      <b:Author>
        <b:NameList>
          <b:Person>
            <b:Last>Smith</b:Last>
            <b:First>Aaron</b:First>
          </b:Person>
        </b:NameList>
      </b:Author>
    </b:Author>
    <b:Title>Five things you didn't know about Bernie Madoff's epic scam</b:Title>
    <b:InternetSiteTitle>CNN Business</b:InternetSiteTitle>
    <b:Year>2013</b:Year>
    <b:Month>December</b:Month>
    <b:Day>11</b:Day>
    <b:YearAccessed>2019</b:YearAccessed>
    <b:MonthAccessed>September</b:MonthAccessed>
    <b:DayAccessed>16</b:DayAccessed>
    <b:URL>https://money.cnn.com/2013/12/10/news/companies/bernard-madoff-ponzi/</b:URL>
    <b:RefOrder>3</b:RefOrder>
  </b:Source>
</b:Sources>
</file>

<file path=customXml/itemProps1.xml><?xml version="1.0" encoding="utf-8"?>
<ds:datastoreItem xmlns:ds="http://schemas.openxmlformats.org/officeDocument/2006/customXml" ds:itemID="{150A22EA-10D3-4C9E-B6F3-E7541407B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2019-09-16T10:05:00Z</dcterms:created>
  <dcterms:modified xsi:type="dcterms:W3CDTF">2019-09-16T11:23:00Z</dcterms:modified>
</cp:coreProperties>
</file>